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1C7" w:rsidRDefault="003B51C7" w:rsidP="0043136A">
      <w:pPr>
        <w:pStyle w:val="H1"/>
        <w:tabs>
          <w:tab w:val="left" w:pos="380"/>
          <w:tab w:val="left" w:pos="620"/>
          <w:tab w:val="left" w:pos="860"/>
          <w:tab w:val="left" w:pos="1100"/>
          <w:tab w:val="left" w:pos="1340"/>
        </w:tabs>
        <w:rPr>
          <w:rFonts w:ascii="Times New Roman" w:hAnsi="Times New Roman" w:cs="Times New Roman"/>
          <w:b/>
          <w:bCs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</w:rPr>
        <w:t>Preliminary Recommendation from GPC- November 2013</w:t>
      </w:r>
    </w:p>
    <w:p w:rsidR="003B51C7" w:rsidRPr="00523F86" w:rsidRDefault="003B51C7" w:rsidP="0043136A">
      <w:pPr>
        <w:pStyle w:val="H1"/>
        <w:tabs>
          <w:tab w:val="left" w:pos="380"/>
          <w:tab w:val="left" w:pos="620"/>
          <w:tab w:val="left" w:pos="860"/>
          <w:tab w:val="left" w:pos="1100"/>
          <w:tab w:val="left" w:pos="1340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Policy Regarding </w:t>
      </w:r>
      <w:r w:rsidRPr="00523F86">
        <w:rPr>
          <w:rFonts w:ascii="Times New Roman" w:hAnsi="Times New Roman" w:cs="Times New Roman"/>
          <w:b/>
          <w:bCs/>
        </w:rPr>
        <w:t>Comprehensive Examination and Other Culminating Experiences</w:t>
      </w:r>
    </w:p>
    <w:p w:rsidR="003B51C7" w:rsidRPr="00523F86" w:rsidRDefault="003B51C7" w:rsidP="00875062">
      <w:pPr>
        <w:pStyle w:val="H1"/>
        <w:tabs>
          <w:tab w:val="left" w:pos="380"/>
          <w:tab w:val="left" w:pos="620"/>
          <w:tab w:val="left" w:pos="860"/>
          <w:tab w:val="left" w:pos="1100"/>
          <w:tab w:val="left" w:pos="1340"/>
        </w:tabs>
        <w:rPr>
          <w:rFonts w:ascii="Times New Roman" w:hAnsi="Times New Roman" w:cs="Times New Roman"/>
        </w:rPr>
      </w:pPr>
      <w:r w:rsidRPr="00523F86">
        <w:rPr>
          <w:rFonts w:ascii="Times New Roman" w:hAnsi="Times New Roman" w:cs="Times New Roman"/>
        </w:rPr>
        <w:t>Every graduate degree program concludes with a mandatory culminating experience</w:t>
      </w:r>
      <w:r>
        <w:rPr>
          <w:rFonts w:ascii="Times New Roman" w:hAnsi="Times New Roman" w:cs="Times New Roman"/>
        </w:rPr>
        <w:t xml:space="preserve"> </w:t>
      </w:r>
      <w:r w:rsidRPr="00523F86">
        <w:rPr>
          <w:rFonts w:ascii="Times New Roman" w:hAnsi="Times New Roman" w:cs="Times New Roman"/>
        </w:rPr>
        <w:t>which requires candidates to synthesize and apply knowledge acquired throughout the program.</w:t>
      </w:r>
      <w:r w:rsidRPr="00566431">
        <w:rPr>
          <w:rFonts w:ascii="Times New Roman" w:hAnsi="Times New Roman" w:cs="Times New Roman"/>
        </w:rPr>
        <w:t xml:space="preserve"> Each program determines the type of culminating experience which may include, but is not limited to, comprehensive exams, a thesis, or a capstone project. </w:t>
      </w:r>
      <w:r>
        <w:rPr>
          <w:rFonts w:ascii="Times New Roman" w:hAnsi="Times New Roman" w:cs="Times New Roman"/>
        </w:rPr>
        <w:t>Students must meet department specific eligibility requirements before registering for the culminating experience.</w:t>
      </w:r>
    </w:p>
    <w:p w:rsidR="003B51C7" w:rsidRDefault="003B51C7" w:rsidP="00A16E0F">
      <w:pPr>
        <w:pStyle w:val="H1"/>
        <w:tabs>
          <w:tab w:val="left" w:pos="380"/>
          <w:tab w:val="left" w:pos="620"/>
          <w:tab w:val="left" w:pos="860"/>
          <w:tab w:val="left" w:pos="1100"/>
          <w:tab w:val="left" w:pos="1340"/>
        </w:tabs>
        <w:rPr>
          <w:rFonts w:ascii="Times New Roman" w:hAnsi="Times New Roman" w:cs="Times New Roman"/>
        </w:rPr>
      </w:pPr>
      <w:r w:rsidRPr="00523F86">
        <w:rPr>
          <w:rFonts w:ascii="Times New Roman" w:hAnsi="Times New Roman" w:cs="Times New Roman"/>
        </w:rPr>
        <w:t xml:space="preserve">Each program will provide its students </w:t>
      </w:r>
      <w:r>
        <w:rPr>
          <w:rFonts w:ascii="Times New Roman" w:hAnsi="Times New Roman" w:cs="Times New Roman"/>
        </w:rPr>
        <w:t>with a</w:t>
      </w:r>
      <w:r w:rsidRPr="00523F86">
        <w:rPr>
          <w:rFonts w:ascii="Times New Roman" w:hAnsi="Times New Roman" w:cs="Times New Roman"/>
        </w:rPr>
        <w:t xml:space="preserve"> written description of its culminating experience, including eligibility, grading standards</w:t>
      </w:r>
      <w:r>
        <w:rPr>
          <w:rFonts w:ascii="Times New Roman" w:hAnsi="Times New Roman" w:cs="Times New Roman"/>
        </w:rPr>
        <w:t>,</w:t>
      </w:r>
      <w:r w:rsidRPr="00523F86">
        <w:rPr>
          <w:rFonts w:ascii="Times New Roman" w:hAnsi="Times New Roman" w:cs="Times New Roman"/>
        </w:rPr>
        <w:t xml:space="preserve"> procedures for evaluating the experience</w:t>
      </w:r>
      <w:r>
        <w:rPr>
          <w:rFonts w:ascii="Times New Roman" w:hAnsi="Times New Roman" w:cs="Times New Roman"/>
        </w:rPr>
        <w:t xml:space="preserve"> and policies for students who are unsuccessful on their initial attempt to complete their culminating experience.  </w:t>
      </w:r>
      <w:r w:rsidRPr="00523F86">
        <w:rPr>
          <w:rFonts w:ascii="Times New Roman" w:hAnsi="Times New Roman" w:cs="Times New Roman"/>
        </w:rPr>
        <w:t xml:space="preserve">These </w:t>
      </w:r>
      <w:r>
        <w:rPr>
          <w:rFonts w:ascii="Times New Roman" w:hAnsi="Times New Roman" w:cs="Times New Roman"/>
        </w:rPr>
        <w:t xml:space="preserve">policies </w:t>
      </w:r>
      <w:r w:rsidRPr="00523F86">
        <w:rPr>
          <w:rFonts w:ascii="Times New Roman" w:hAnsi="Times New Roman" w:cs="Times New Roman"/>
        </w:rPr>
        <w:t>must be posted on</w:t>
      </w:r>
      <w:r>
        <w:rPr>
          <w:rFonts w:ascii="Times New Roman" w:hAnsi="Times New Roman" w:cs="Times New Roman"/>
        </w:rPr>
        <w:t xml:space="preserve"> the Department/Program website.  </w:t>
      </w:r>
    </w:p>
    <w:p w:rsidR="003B51C7" w:rsidRPr="00523F86" w:rsidRDefault="003B51C7" w:rsidP="00A16E0F">
      <w:pPr>
        <w:pStyle w:val="H1"/>
        <w:tabs>
          <w:tab w:val="left" w:pos="380"/>
          <w:tab w:val="left" w:pos="620"/>
          <w:tab w:val="left" w:pos="860"/>
          <w:tab w:val="left" w:pos="1100"/>
          <w:tab w:val="left" w:pos="13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Students who are unsuccessful in completing their culminating experience</w:t>
      </w:r>
      <w:r w:rsidRPr="00523F8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may </w:t>
      </w:r>
      <w:r w:rsidRPr="00523F86">
        <w:rPr>
          <w:rFonts w:ascii="Times New Roman" w:hAnsi="Times New Roman" w:cs="Times New Roman"/>
        </w:rPr>
        <w:t>appeal the outcome as per the Graduate Student Complaint/Appeals Policy (see TCNJ Policy Manual).</w:t>
      </w:r>
      <w:r w:rsidRPr="00A16E0F">
        <w:rPr>
          <w:rFonts w:ascii="Times New Roman" w:hAnsi="Times New Roman" w:cs="Times New Roman"/>
        </w:rPr>
        <w:t xml:space="preserve"> </w:t>
      </w:r>
      <w:r w:rsidRPr="00523F86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f</w:t>
      </w:r>
      <w:r w:rsidRPr="00523F86">
        <w:rPr>
          <w:rFonts w:ascii="Times New Roman" w:hAnsi="Times New Roman" w:cs="Times New Roman"/>
        </w:rPr>
        <w:t xml:space="preserve"> the </w:t>
      </w:r>
      <w:r>
        <w:rPr>
          <w:rFonts w:ascii="Times New Roman" w:hAnsi="Times New Roman" w:cs="Times New Roman"/>
        </w:rPr>
        <w:t xml:space="preserve">candidate is unsuccessful in the </w:t>
      </w:r>
      <w:r w:rsidRPr="00523F86">
        <w:rPr>
          <w:rFonts w:ascii="Times New Roman" w:hAnsi="Times New Roman" w:cs="Times New Roman"/>
        </w:rPr>
        <w:t xml:space="preserve">appeal </w:t>
      </w:r>
      <w:r>
        <w:rPr>
          <w:rFonts w:ascii="Times New Roman" w:hAnsi="Times New Roman" w:cs="Times New Roman"/>
        </w:rPr>
        <w:t>process</w:t>
      </w:r>
      <w:r w:rsidRPr="00523F8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the candidate will be dismissed from the program.  </w:t>
      </w:r>
      <w:r w:rsidRPr="00A16E0F">
        <w:rPr>
          <w:rFonts w:ascii="Times New Roman" w:hAnsi="Times New Roman" w:cs="Times New Roman"/>
        </w:rPr>
        <w:t xml:space="preserve"> </w:t>
      </w:r>
    </w:p>
    <w:p w:rsidR="003B51C7" w:rsidRPr="00523F86" w:rsidRDefault="003B51C7" w:rsidP="00875062">
      <w:pPr>
        <w:pStyle w:val="H1"/>
        <w:tabs>
          <w:tab w:val="left" w:pos="380"/>
          <w:tab w:val="left" w:pos="620"/>
          <w:tab w:val="left" w:pos="860"/>
          <w:tab w:val="left" w:pos="1100"/>
          <w:tab w:val="left" w:pos="1340"/>
        </w:tabs>
        <w:rPr>
          <w:rFonts w:ascii="Times New Roman" w:hAnsi="Times New Roman" w:cs="Times New Roman"/>
        </w:rPr>
      </w:pPr>
      <w:r w:rsidRPr="00523F86">
        <w:rPr>
          <w:rFonts w:ascii="Times New Roman" w:hAnsi="Times New Roman" w:cs="Times New Roman"/>
        </w:rPr>
        <w:t xml:space="preserve">Candidates who are unable to </w:t>
      </w:r>
      <w:r>
        <w:rPr>
          <w:rFonts w:ascii="Times New Roman" w:hAnsi="Times New Roman" w:cs="Times New Roman"/>
        </w:rPr>
        <w:t xml:space="preserve">schedule and successfully complete their culminating experience during their 6 year window </w:t>
      </w:r>
      <w:r w:rsidRPr="00523F86">
        <w:rPr>
          <w:rFonts w:ascii="Times New Roman" w:hAnsi="Times New Roman" w:cs="Times New Roman"/>
        </w:rPr>
        <w:t xml:space="preserve">must consult with the graduate program coordinator. If the next offering is beyond the student’s 6-year limit to program completion, please see policy on Program Completion Limit and Retention Standards. </w:t>
      </w:r>
      <w:r>
        <w:rPr>
          <w:rFonts w:ascii="Times New Roman" w:hAnsi="Times New Roman" w:cs="Times New Roman"/>
        </w:rPr>
        <w:t xml:space="preserve"> </w:t>
      </w:r>
    </w:p>
    <w:p w:rsidR="003B51C7" w:rsidRPr="00523F86" w:rsidRDefault="003B51C7" w:rsidP="008A3CA3">
      <w:pPr>
        <w:pStyle w:val="H1"/>
        <w:tabs>
          <w:tab w:val="left" w:pos="380"/>
          <w:tab w:val="left" w:pos="620"/>
          <w:tab w:val="left" w:pos="860"/>
          <w:tab w:val="left" w:pos="1100"/>
          <w:tab w:val="left" w:pos="1340"/>
        </w:tabs>
        <w:ind w:left="720"/>
        <w:rPr>
          <w:rFonts w:ascii="Times New Roman" w:hAnsi="Times New Roman" w:cs="Times New Roman"/>
          <w:b/>
          <w:bCs/>
        </w:rPr>
      </w:pPr>
    </w:p>
    <w:p w:rsidR="003B51C7" w:rsidRPr="00523F86" w:rsidRDefault="003B51C7" w:rsidP="008A3CA3">
      <w:pPr>
        <w:ind w:left="720"/>
        <w:rPr>
          <w:rFonts w:ascii="Times New Roman" w:hAnsi="Times New Roman" w:cs="Times New Roman"/>
          <w:sz w:val="20"/>
          <w:szCs w:val="20"/>
          <w:highlight w:val="green"/>
        </w:rPr>
      </w:pPr>
    </w:p>
    <w:p w:rsidR="003B51C7" w:rsidRPr="00523F86" w:rsidRDefault="003B51C7" w:rsidP="00C0412F">
      <w:pPr>
        <w:rPr>
          <w:rFonts w:ascii="Times New Roman" w:hAnsi="Times New Roman" w:cs="Times New Roman"/>
        </w:rPr>
      </w:pPr>
    </w:p>
    <w:sectPr w:rsidR="003B51C7" w:rsidRPr="00523F86" w:rsidSect="008A3CA3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1C7" w:rsidRDefault="003B51C7" w:rsidP="00C0412F">
      <w:pPr>
        <w:spacing w:after="0" w:line="240" w:lineRule="auto"/>
      </w:pPr>
      <w:r>
        <w:separator/>
      </w:r>
    </w:p>
  </w:endnote>
  <w:endnote w:type="continuationSeparator" w:id="0">
    <w:p w:rsidR="003B51C7" w:rsidRDefault="003B51C7" w:rsidP="00C04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Joanna M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Joanna MT Ex Bd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1C7" w:rsidRDefault="003B51C7" w:rsidP="00C0412F">
      <w:pPr>
        <w:spacing w:after="0" w:line="240" w:lineRule="auto"/>
      </w:pPr>
      <w:r>
        <w:separator/>
      </w:r>
    </w:p>
  </w:footnote>
  <w:footnote w:type="continuationSeparator" w:id="0">
    <w:p w:rsidR="003B51C7" w:rsidRDefault="003B51C7" w:rsidP="00C041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63882"/>
    <w:multiLevelType w:val="hybridMultilevel"/>
    <w:tmpl w:val="29783012"/>
    <w:lvl w:ilvl="0" w:tplc="107E2B64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58F86B4C"/>
    <w:multiLevelType w:val="hybridMultilevel"/>
    <w:tmpl w:val="61D007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CA3"/>
    <w:rsid w:val="00116BA9"/>
    <w:rsid w:val="002D47BF"/>
    <w:rsid w:val="00336C4C"/>
    <w:rsid w:val="003B51C7"/>
    <w:rsid w:val="003C7919"/>
    <w:rsid w:val="003E1B92"/>
    <w:rsid w:val="004215A7"/>
    <w:rsid w:val="0043136A"/>
    <w:rsid w:val="0044580D"/>
    <w:rsid w:val="0045037A"/>
    <w:rsid w:val="0045491C"/>
    <w:rsid w:val="004A451F"/>
    <w:rsid w:val="004F65BF"/>
    <w:rsid w:val="00523F86"/>
    <w:rsid w:val="00551124"/>
    <w:rsid w:val="00566431"/>
    <w:rsid w:val="005E536D"/>
    <w:rsid w:val="00602BDD"/>
    <w:rsid w:val="006767D5"/>
    <w:rsid w:val="007770E6"/>
    <w:rsid w:val="00875062"/>
    <w:rsid w:val="00892CD7"/>
    <w:rsid w:val="008A3CA3"/>
    <w:rsid w:val="008B4DD2"/>
    <w:rsid w:val="009E2E0D"/>
    <w:rsid w:val="00A16E0F"/>
    <w:rsid w:val="00A740CD"/>
    <w:rsid w:val="00AB20BF"/>
    <w:rsid w:val="00B76762"/>
    <w:rsid w:val="00BC1FFF"/>
    <w:rsid w:val="00BD29B6"/>
    <w:rsid w:val="00BF3021"/>
    <w:rsid w:val="00C0412F"/>
    <w:rsid w:val="00C5692E"/>
    <w:rsid w:val="00D004A7"/>
    <w:rsid w:val="00D020B5"/>
    <w:rsid w:val="00D7682B"/>
    <w:rsid w:val="00E307F5"/>
    <w:rsid w:val="00EB05F3"/>
    <w:rsid w:val="00F103D1"/>
    <w:rsid w:val="00F5797D"/>
    <w:rsid w:val="00F83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CA3"/>
    <w:pPr>
      <w:spacing w:after="200" w:line="276" w:lineRule="auto"/>
    </w:pPr>
    <w:rPr>
      <w:rFonts w:cs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X29115">
    <w:name w:val="TX2_ 9_11.5"/>
    <w:uiPriority w:val="99"/>
    <w:rsid w:val="008A3CA3"/>
    <w:pPr>
      <w:tabs>
        <w:tab w:val="left" w:pos="240"/>
        <w:tab w:val="left" w:pos="1920"/>
      </w:tabs>
    </w:pPr>
    <w:rPr>
      <w:rFonts w:ascii="Joanna MT" w:eastAsia="Times New Roman" w:hAnsi="Joanna MT" w:cs="Joanna MT"/>
      <w:sz w:val="18"/>
      <w:szCs w:val="18"/>
    </w:rPr>
  </w:style>
  <w:style w:type="paragraph" w:styleId="ListParagraph">
    <w:name w:val="List Paragraph"/>
    <w:basedOn w:val="Normal"/>
    <w:uiPriority w:val="99"/>
    <w:qFormat/>
    <w:rsid w:val="008A3CA3"/>
    <w:pPr>
      <w:ind w:left="720"/>
      <w:contextualSpacing/>
    </w:pPr>
  </w:style>
  <w:style w:type="paragraph" w:customStyle="1" w:styleId="H1">
    <w:name w:val="H1"/>
    <w:uiPriority w:val="99"/>
    <w:rsid w:val="008A3CA3"/>
    <w:pPr>
      <w:keepNext/>
      <w:keepLines/>
      <w:spacing w:before="480" w:after="80" w:line="240" w:lineRule="exact"/>
    </w:pPr>
    <w:rPr>
      <w:rFonts w:ascii="Joanna MT Ex Bd" w:eastAsia="Times New Roman" w:hAnsi="Joanna MT Ex Bd" w:cs="Joanna MT Ex Bd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4A4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A451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C0412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0412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C0412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CA3"/>
    <w:pPr>
      <w:spacing w:after="200" w:line="276" w:lineRule="auto"/>
    </w:pPr>
    <w:rPr>
      <w:rFonts w:cs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X29115">
    <w:name w:val="TX2_ 9_11.5"/>
    <w:uiPriority w:val="99"/>
    <w:rsid w:val="008A3CA3"/>
    <w:pPr>
      <w:tabs>
        <w:tab w:val="left" w:pos="240"/>
        <w:tab w:val="left" w:pos="1920"/>
      </w:tabs>
    </w:pPr>
    <w:rPr>
      <w:rFonts w:ascii="Joanna MT" w:eastAsia="Times New Roman" w:hAnsi="Joanna MT" w:cs="Joanna MT"/>
      <w:sz w:val="18"/>
      <w:szCs w:val="18"/>
    </w:rPr>
  </w:style>
  <w:style w:type="paragraph" w:styleId="ListParagraph">
    <w:name w:val="List Paragraph"/>
    <w:basedOn w:val="Normal"/>
    <w:uiPriority w:val="99"/>
    <w:qFormat/>
    <w:rsid w:val="008A3CA3"/>
    <w:pPr>
      <w:ind w:left="720"/>
      <w:contextualSpacing/>
    </w:pPr>
  </w:style>
  <w:style w:type="paragraph" w:customStyle="1" w:styleId="H1">
    <w:name w:val="H1"/>
    <w:uiPriority w:val="99"/>
    <w:rsid w:val="008A3CA3"/>
    <w:pPr>
      <w:keepNext/>
      <w:keepLines/>
      <w:spacing w:before="480" w:after="80" w:line="240" w:lineRule="exact"/>
    </w:pPr>
    <w:rPr>
      <w:rFonts w:ascii="Joanna MT Ex Bd" w:eastAsia="Times New Roman" w:hAnsi="Joanna MT Ex Bd" w:cs="Joanna MT Ex Bd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4A4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A451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C0412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0412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C0412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1293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93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Preliminary Recommendation from GPC- November 2013</vt:lpstr>
    </vt:vector>
  </TitlesOfParts>
  <Company>TCNJ</Company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Preliminary Recommendation from GPC- November 2013</dc:title>
  <dc:creator>TCNJ</dc:creator>
  <cp:lastModifiedBy>The College of New Jersey</cp:lastModifiedBy>
  <cp:revision>2</cp:revision>
  <cp:lastPrinted>2011-10-19T15:44:00Z</cp:lastPrinted>
  <dcterms:created xsi:type="dcterms:W3CDTF">2014-03-05T16:38:00Z</dcterms:created>
  <dcterms:modified xsi:type="dcterms:W3CDTF">2014-03-05T16:38:00Z</dcterms:modified>
</cp:coreProperties>
</file>