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29" w:rsidRDefault="00220129" w:rsidP="00220129">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220129" w:rsidRDefault="00220129" w:rsidP="00220129">
      <w:pPr>
        <w:pStyle w:val="NormalWeb"/>
        <w:rPr>
          <w:color w:val="000000"/>
          <w:sz w:val="27"/>
          <w:szCs w:val="27"/>
        </w:rPr>
      </w:pPr>
      <w:r>
        <w:rPr>
          <w:b/>
          <w:bCs/>
          <w:color w:val="000000"/>
        </w:rPr>
        <w:t>TO: </w:t>
      </w:r>
      <w:r>
        <w:rPr>
          <w:color w:val="000000"/>
        </w:rPr>
        <w:t>CAP</w:t>
      </w:r>
      <w:r>
        <w:rPr>
          <w:color w:val="000000"/>
          <w:sz w:val="27"/>
          <w:szCs w:val="27"/>
        </w:rPr>
        <w:t> </w:t>
      </w:r>
    </w:p>
    <w:p w:rsidR="00220129" w:rsidRDefault="00220129" w:rsidP="00220129">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220129" w:rsidRDefault="00220129" w:rsidP="00220129">
      <w:pPr>
        <w:pStyle w:val="NormalWeb"/>
        <w:ind w:left="2160"/>
        <w:rPr>
          <w:color w:val="000000"/>
          <w:sz w:val="27"/>
          <w:szCs w:val="27"/>
        </w:rPr>
      </w:pPr>
      <w:r>
        <w:rPr>
          <w:b/>
          <w:bCs/>
          <w:color w:val="000000"/>
        </w:rPr>
        <w:t>RE: </w:t>
      </w:r>
      <w:r>
        <w:rPr>
          <w:color w:val="000000"/>
        </w:rPr>
        <w:t>Recommended changes to Honors Program policy</w:t>
      </w:r>
      <w:r>
        <w:rPr>
          <w:color w:val="000000"/>
          <w:sz w:val="27"/>
          <w:szCs w:val="27"/>
        </w:rPr>
        <w:t> </w:t>
      </w:r>
    </w:p>
    <w:p w:rsidR="00220129" w:rsidRDefault="00220129" w:rsidP="00220129">
      <w:pPr>
        <w:pStyle w:val="NormalWeb"/>
        <w:rPr>
          <w:color w:val="000000"/>
          <w:sz w:val="27"/>
          <w:szCs w:val="27"/>
        </w:rPr>
      </w:pPr>
      <w:r>
        <w:rPr>
          <w:b/>
          <w:bCs/>
          <w:color w:val="000000"/>
        </w:rPr>
        <w:t>DATE: </w:t>
      </w:r>
      <w:r>
        <w:rPr>
          <w:color w:val="000000"/>
        </w:rPr>
        <w:t>March 2, 2013</w:t>
      </w:r>
      <w:r>
        <w:rPr>
          <w:color w:val="000000"/>
          <w:sz w:val="27"/>
          <w:szCs w:val="27"/>
        </w:rPr>
        <w:t> </w:t>
      </w:r>
    </w:p>
    <w:p w:rsidR="00220129" w:rsidRDefault="00220129" w:rsidP="00220129">
      <w:pPr>
        <w:pStyle w:val="NormalWeb"/>
        <w:rPr>
          <w:color w:val="000000"/>
          <w:sz w:val="27"/>
          <w:szCs w:val="27"/>
        </w:rPr>
      </w:pPr>
      <w:r>
        <w:rPr>
          <w:b/>
          <w:bCs/>
          <w:color w:val="000000"/>
          <w:u w:val="single"/>
        </w:rPr>
        <w:t>Background:</w:t>
      </w:r>
      <w:r>
        <w:rPr>
          <w:color w:val="000000"/>
          <w:sz w:val="27"/>
          <w:szCs w:val="27"/>
        </w:rPr>
        <w:t> </w:t>
      </w:r>
    </w:p>
    <w:p w:rsidR="00220129" w:rsidRDefault="00220129" w:rsidP="00220129">
      <w:pPr>
        <w:pStyle w:val="NormalWeb"/>
        <w:rPr>
          <w:color w:val="000000"/>
          <w:sz w:val="27"/>
          <w:szCs w:val="27"/>
        </w:rPr>
      </w:pPr>
      <w:r>
        <w:rPr>
          <w:color w:val="000000"/>
        </w:rPr>
        <w:t>In February 2013, the Honors and Scholars Program Council</w:t>
      </w:r>
      <w:r>
        <w:rPr>
          <w:rStyle w:val="apple-converted-space"/>
          <w:color w:val="000000"/>
        </w:rPr>
        <w:t> </w:t>
      </w:r>
      <w:r>
        <w:rPr>
          <w:color w:val="222222"/>
        </w:rPr>
        <w:t>unanimously passed</w:t>
      </w:r>
      <w:r>
        <w:rPr>
          <w:color w:val="000000"/>
          <w:sz w:val="27"/>
          <w:szCs w:val="27"/>
        </w:rPr>
        <w:t> </w:t>
      </w:r>
    </w:p>
    <w:p w:rsidR="00220129" w:rsidRDefault="00220129" w:rsidP="00220129">
      <w:pPr>
        <w:pStyle w:val="NormalWeb"/>
        <w:rPr>
          <w:color w:val="000000"/>
          <w:sz w:val="27"/>
          <w:szCs w:val="27"/>
        </w:rPr>
      </w:pPr>
      <w:r>
        <w:rPr>
          <w:color w:val="222222"/>
        </w:rPr>
        <w:t xml:space="preserve">1.) </w:t>
      </w:r>
      <w:proofErr w:type="gramStart"/>
      <w:r>
        <w:rPr>
          <w:color w:val="222222"/>
        </w:rPr>
        <w:t>a</w:t>
      </w:r>
      <w:proofErr w:type="gramEnd"/>
      <w:r>
        <w:rPr>
          <w:color w:val="222222"/>
        </w:rPr>
        <w:t xml:space="preserve"> motion to raise the minimum overall GPA required for a student to remain in the Honors Program from 3.0 to 3.5 and</w:t>
      </w:r>
      <w:r>
        <w:rPr>
          <w:color w:val="000000"/>
          <w:sz w:val="27"/>
          <w:szCs w:val="27"/>
        </w:rPr>
        <w:t> </w:t>
      </w:r>
    </w:p>
    <w:p w:rsidR="00220129" w:rsidRDefault="00220129" w:rsidP="00220129">
      <w:pPr>
        <w:pStyle w:val="NormalWeb"/>
        <w:rPr>
          <w:color w:val="000000"/>
          <w:sz w:val="27"/>
          <w:szCs w:val="27"/>
        </w:rPr>
      </w:pPr>
      <w:r>
        <w:rPr>
          <w:color w:val="222222"/>
        </w:rPr>
        <w:t xml:space="preserve">2.) </w:t>
      </w:r>
      <w:proofErr w:type="gramStart"/>
      <w:r>
        <w:rPr>
          <w:color w:val="222222"/>
        </w:rPr>
        <w:t>a</w:t>
      </w:r>
      <w:proofErr w:type="gramEnd"/>
      <w:r>
        <w:rPr>
          <w:color w:val="222222"/>
        </w:rPr>
        <w:t xml:space="preserve"> new requirement that students have completed 2 Honors courses by the end of their 4th semester in the program to remain in the program.</w:t>
      </w:r>
      <w:r>
        <w:rPr>
          <w:color w:val="000000"/>
          <w:sz w:val="27"/>
          <w:szCs w:val="27"/>
        </w:rPr>
        <w:t> </w:t>
      </w:r>
    </w:p>
    <w:p w:rsidR="00220129" w:rsidRDefault="00220129" w:rsidP="00220129">
      <w:pPr>
        <w:pStyle w:val="NormalWeb"/>
        <w:rPr>
          <w:color w:val="000000"/>
          <w:sz w:val="27"/>
          <w:szCs w:val="27"/>
        </w:rPr>
      </w:pPr>
      <w:r>
        <w:rPr>
          <w:b/>
          <w:bCs/>
          <w:color w:val="000000"/>
          <w:u w:val="single"/>
        </w:rPr>
        <w:t>Charge:</w:t>
      </w:r>
      <w:r>
        <w:rPr>
          <w:color w:val="000000"/>
          <w:sz w:val="27"/>
          <w:szCs w:val="27"/>
        </w:rPr>
        <w:t> </w:t>
      </w:r>
    </w:p>
    <w:p w:rsidR="00220129" w:rsidRDefault="00220129" w:rsidP="00220129">
      <w:pPr>
        <w:pStyle w:val="NormalWeb"/>
        <w:rPr>
          <w:color w:val="000000"/>
          <w:sz w:val="27"/>
          <w:szCs w:val="27"/>
        </w:rPr>
      </w:pPr>
      <w:r>
        <w:rPr>
          <w:color w:val="000000"/>
        </w:rPr>
        <w:t>The Steering Committee requests that CAP make a recommendation on whether or not to approve these changes to the Honors Program.</w:t>
      </w:r>
      <w:r>
        <w:rPr>
          <w:color w:val="000000"/>
          <w:sz w:val="27"/>
          <w:szCs w:val="27"/>
        </w:rPr>
        <w:t> </w:t>
      </w:r>
      <w:r>
        <w:rPr>
          <w:color w:val="000000"/>
          <w:sz w:val="27"/>
          <w:szCs w:val="27"/>
        </w:rPr>
        <w:br/>
        <w:t> </w:t>
      </w:r>
      <w:r>
        <w:rPr>
          <w:color w:val="000000"/>
          <w:sz w:val="27"/>
          <w:szCs w:val="27"/>
        </w:rPr>
        <w:br/>
        <w:t> </w:t>
      </w:r>
      <w:r>
        <w:rPr>
          <w:color w:val="000000"/>
          <w:sz w:val="27"/>
          <w:szCs w:val="27"/>
        </w:rPr>
        <w:br/>
        <w:t> </w:t>
      </w:r>
    </w:p>
    <w:p w:rsidR="00220129" w:rsidRDefault="00220129" w:rsidP="00220129">
      <w:pPr>
        <w:pStyle w:val="NormalWeb"/>
        <w:rPr>
          <w:color w:val="000000"/>
          <w:sz w:val="27"/>
          <w:szCs w:val="27"/>
        </w:rPr>
      </w:pPr>
      <w:r>
        <w:rPr>
          <w:b/>
          <w:bCs/>
          <w:color w:val="000000"/>
        </w:rPr>
        <w:t>TCNJ Governance Processes</w:t>
      </w:r>
    </w:p>
    <w:p w:rsidR="00220129" w:rsidRDefault="00220129" w:rsidP="00220129">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220129" w:rsidRDefault="00220129" w:rsidP="00220129">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 xml:space="preserve">Once the campus community has received the problem statement, committees can begin to collect data needed to make a </w:t>
      </w:r>
      <w:r>
        <w:rPr>
          <w:color w:val="000000"/>
        </w:rPr>
        <w:lastRenderedPageBreak/>
        <w:t>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220129" w:rsidRDefault="00220129" w:rsidP="00220129">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220129" w:rsidRDefault="00220129" w:rsidP="00220129">
      <w:pPr>
        <w:pStyle w:val="NormalWeb"/>
        <w:rPr>
          <w:color w:val="000000"/>
          <w:sz w:val="27"/>
          <w:szCs w:val="27"/>
        </w:rPr>
      </w:pPr>
      <w:r>
        <w:rPr>
          <w:b/>
          <w:bCs/>
          <w:color w:val="000000"/>
        </w:rPr>
        <w:t>Testimony</w:t>
      </w:r>
    </w:p>
    <w:p w:rsidR="00220129" w:rsidRDefault="00220129" w:rsidP="00220129">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w:t>
      </w:r>
      <w:r>
        <w:rPr>
          <w:color w:val="000000"/>
          <w:sz w:val="27"/>
          <w:szCs w:val="27"/>
        </w:rPr>
        <w:t> </w:t>
      </w:r>
    </w:p>
    <w:p w:rsidR="00220129" w:rsidRDefault="00220129" w:rsidP="00220129">
      <w:pPr>
        <w:pStyle w:val="NormalWeb"/>
        <w:rPr>
          <w:color w:val="000000"/>
          <w:sz w:val="27"/>
          <w:szCs w:val="27"/>
        </w:rPr>
      </w:pPr>
      <w:r>
        <w:rPr>
          <w:color w:val="000000"/>
        </w:rPr>
        <w:t>To see the Steering Committee’s guidelines for gathering testimony, go to</w:t>
      </w:r>
      <w:r>
        <w:rPr>
          <w:rStyle w:val="apple-converted-space"/>
          <w:color w:val="000000"/>
        </w:rPr>
        <w:t> </w:t>
      </w:r>
      <w:hyperlink r:id="rId6" w:history="1">
        <w:r>
          <w:rPr>
            <w:rStyle w:val="Hyperlink"/>
          </w:rPr>
          <w:t>http://www.tcnj.edu/~steering/Guidelines_for_Gathering_Testimony.docx</w:t>
        </w:r>
      </w:hyperlink>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9"/>
    <w:rsid w:val="00220129"/>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129"/>
  </w:style>
  <w:style w:type="character" w:styleId="Hyperlink">
    <w:name w:val="Hyperlink"/>
    <w:basedOn w:val="DefaultParagraphFont"/>
    <w:uiPriority w:val="99"/>
    <w:semiHidden/>
    <w:unhideWhenUsed/>
    <w:rsid w:val="00220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129"/>
  </w:style>
  <w:style w:type="character" w:styleId="Hyperlink">
    <w:name w:val="Hyperlink"/>
    <w:basedOn w:val="DefaultParagraphFont"/>
    <w:uiPriority w:val="99"/>
    <w:semiHidden/>
    <w:unhideWhenUsed/>
    <w:rsid w:val="00220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Guidelines_for_Gathering_Testimony.docx" TargetMode="Externa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3711</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2013-09-04T16:24:00Z</dcterms:created>
  <dcterms:modified xsi:type="dcterms:W3CDTF">2013-09-04T16:25:00Z</dcterms:modified>
</cp:coreProperties>
</file>