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43" w:rsidRDefault="00333B43" w:rsidP="00333B43">
      <w:pPr>
        <w:jc w:val="center"/>
        <w:rPr>
          <w:b/>
        </w:rPr>
      </w:pPr>
      <w:r w:rsidRPr="005C2DA4">
        <w:rPr>
          <w:b/>
        </w:rPr>
        <w:t>MEMORANDUM</w:t>
      </w:r>
    </w:p>
    <w:p w:rsidR="00333B43" w:rsidRDefault="00333B43" w:rsidP="00333B43">
      <w:pPr>
        <w:jc w:val="center"/>
        <w:rPr>
          <w:b/>
        </w:rPr>
      </w:pPr>
    </w:p>
    <w:p w:rsidR="00333B43" w:rsidRDefault="00333B43" w:rsidP="00333B43">
      <w:pPr>
        <w:jc w:val="center"/>
        <w:rPr>
          <w:b/>
        </w:rPr>
      </w:pPr>
    </w:p>
    <w:p w:rsidR="00333B43" w:rsidRPr="008642E8" w:rsidRDefault="00333B43" w:rsidP="00333B43">
      <w:pPr>
        <w:tabs>
          <w:tab w:val="left" w:pos="1800"/>
        </w:tabs>
      </w:pPr>
      <w:r>
        <w:rPr>
          <w:b/>
        </w:rPr>
        <w:t>TO:</w:t>
      </w:r>
      <w:r>
        <w:rPr>
          <w:b/>
        </w:rPr>
        <w:tab/>
      </w:r>
      <w:r>
        <w:t>Committee on Academic Programs</w:t>
      </w:r>
    </w:p>
    <w:p w:rsidR="00333B43" w:rsidRDefault="00333B43" w:rsidP="00333B43">
      <w:pPr>
        <w:tabs>
          <w:tab w:val="left" w:pos="1800"/>
        </w:tabs>
      </w:pPr>
    </w:p>
    <w:p w:rsidR="00333B43" w:rsidRPr="008642E8" w:rsidRDefault="00333B43" w:rsidP="00333B43">
      <w:pPr>
        <w:tabs>
          <w:tab w:val="left" w:pos="1800"/>
        </w:tabs>
      </w:pPr>
      <w:r>
        <w:rPr>
          <w:b/>
        </w:rPr>
        <w:t>FROM:</w:t>
      </w:r>
      <w:r>
        <w:rPr>
          <w:b/>
        </w:rPr>
        <w:tab/>
      </w:r>
      <w:r>
        <w:t xml:space="preserve">Steering Committee </w:t>
      </w:r>
    </w:p>
    <w:p w:rsidR="00333B43" w:rsidRDefault="00333B43" w:rsidP="00333B43">
      <w:pPr>
        <w:tabs>
          <w:tab w:val="left" w:pos="1800"/>
        </w:tabs>
      </w:pPr>
    </w:p>
    <w:p w:rsidR="00333B43" w:rsidRPr="008642E8" w:rsidRDefault="00333B43" w:rsidP="00333B43">
      <w:pPr>
        <w:tabs>
          <w:tab w:val="left" w:pos="1800"/>
        </w:tabs>
        <w:ind w:left="1800" w:hanging="1800"/>
      </w:pPr>
      <w:r>
        <w:rPr>
          <w:b/>
        </w:rPr>
        <w:t>RE:</w:t>
      </w:r>
      <w:r>
        <w:rPr>
          <w:b/>
        </w:rPr>
        <w:tab/>
      </w:r>
      <w:r w:rsidR="00BC4B77">
        <w:t xml:space="preserve">Course </w:t>
      </w:r>
      <w:r w:rsidR="00FA3D44">
        <w:t>Withdrawal</w:t>
      </w:r>
      <w:r>
        <w:t xml:space="preserve"> Policy</w:t>
      </w:r>
    </w:p>
    <w:p w:rsidR="00333B43" w:rsidRDefault="00333B43" w:rsidP="00333B43">
      <w:pPr>
        <w:tabs>
          <w:tab w:val="left" w:pos="1800"/>
        </w:tabs>
      </w:pPr>
    </w:p>
    <w:p w:rsidR="00333B43" w:rsidRPr="00267DBC" w:rsidRDefault="00333B43" w:rsidP="00333B43">
      <w:pPr>
        <w:tabs>
          <w:tab w:val="left" w:pos="1800"/>
        </w:tabs>
      </w:pPr>
      <w:r>
        <w:rPr>
          <w:b/>
        </w:rPr>
        <w:t>DATE:</w:t>
      </w:r>
      <w:r>
        <w:rPr>
          <w:b/>
        </w:rPr>
        <w:tab/>
      </w:r>
      <w:r>
        <w:t>February</w:t>
      </w:r>
      <w:r w:rsidR="00FA3D44">
        <w:t xml:space="preserve"> 02</w:t>
      </w:r>
      <w:r>
        <w:t>, 2011</w:t>
      </w:r>
    </w:p>
    <w:p w:rsidR="00333B43" w:rsidRDefault="00333B43" w:rsidP="00333B43"/>
    <w:p w:rsidR="00333B43" w:rsidRDefault="00333B43" w:rsidP="00333B43"/>
    <w:p w:rsidR="00333B43" w:rsidRPr="00E4169B" w:rsidRDefault="00333B43" w:rsidP="00333B43">
      <w:pPr>
        <w:rPr>
          <w:b/>
          <w:u w:val="single"/>
        </w:rPr>
      </w:pPr>
      <w:r>
        <w:rPr>
          <w:b/>
          <w:u w:val="single"/>
        </w:rPr>
        <w:t>Background:</w:t>
      </w:r>
    </w:p>
    <w:p w:rsidR="00333B43" w:rsidRDefault="00333B43" w:rsidP="00333B43">
      <w:pPr>
        <w:autoSpaceDE w:val="0"/>
        <w:autoSpaceDN w:val="0"/>
        <w:adjustRightInd w:val="0"/>
      </w:pPr>
      <w:r>
        <w:t xml:space="preserve">Attached is a memo from </w:t>
      </w:r>
      <w:r w:rsidR="0092797D">
        <w:t>Dean Benjamin Rifkin, concerning course withdrawal.  Steering notes that while the college has a policy on the deadline for course withdrawal (</w:t>
      </w:r>
      <w:hyperlink r:id="rId6" w:history="1">
        <w:r w:rsidR="0092797D" w:rsidRPr="00293262">
          <w:rPr>
            <w:rStyle w:val="Hyperlink"/>
          </w:rPr>
          <w:t>http://www.tcnj.edu/~academic/policy/coursewithdrawal.html</w:t>
        </w:r>
      </w:hyperlink>
      <w:r w:rsidR="0092797D">
        <w:t xml:space="preserve"> ), it does not have a policy concerning either the number of times a student may withdraw from the same course or the total number of times a student may withdraw from courses during their academic career at TCNJ.</w:t>
      </w:r>
    </w:p>
    <w:p w:rsidR="00333B43" w:rsidRDefault="00333B43" w:rsidP="00333B43">
      <w:pPr>
        <w:rPr>
          <w:b/>
          <w:u w:val="single"/>
        </w:rPr>
      </w:pPr>
    </w:p>
    <w:p w:rsidR="00333B43" w:rsidRDefault="00333B43" w:rsidP="00333B43">
      <w:pPr>
        <w:rPr>
          <w:b/>
          <w:u w:val="single"/>
        </w:rPr>
      </w:pPr>
      <w:r>
        <w:rPr>
          <w:b/>
          <w:u w:val="single"/>
        </w:rPr>
        <w:t>Charge:</w:t>
      </w:r>
    </w:p>
    <w:p w:rsidR="0092797D" w:rsidRDefault="00333B43" w:rsidP="00333B43">
      <w:r>
        <w:t>The Steering Committee requests that</w:t>
      </w:r>
      <w:r w:rsidR="006746A0">
        <w:t xml:space="preserve"> CAP review</w:t>
      </w:r>
      <w:r>
        <w:t xml:space="preserve"> </w:t>
      </w:r>
      <w:r w:rsidR="0092797D">
        <w:t xml:space="preserve">Dean Rifkin’s memo and </w:t>
      </w:r>
      <w:proofErr w:type="gramStart"/>
      <w:r w:rsidR="0092797D">
        <w:t>decide</w:t>
      </w:r>
      <w:proofErr w:type="gramEnd"/>
      <w:r w:rsidR="0092797D">
        <w:t xml:space="preserve"> whether there needs to be a policy placing any limits on course withdrawal beyond those of the deadline. </w:t>
      </w:r>
      <w:r>
        <w:t xml:space="preserve">Should it be decided that the policy </w:t>
      </w:r>
      <w:r w:rsidR="0092797D">
        <w:t xml:space="preserve">is needed, </w:t>
      </w:r>
      <w:r>
        <w:t xml:space="preserve">CAP </w:t>
      </w:r>
      <w:r w:rsidR="0092797D">
        <w:t xml:space="preserve">is asked to develop a policy that is </w:t>
      </w:r>
      <w:r w:rsidR="002127E1">
        <w:t>both realistic and fair.</w:t>
      </w:r>
    </w:p>
    <w:p w:rsidR="0092797D" w:rsidRDefault="0092797D" w:rsidP="00333B43"/>
    <w:p w:rsidR="00333B43" w:rsidRDefault="00333B43" w:rsidP="00333B43">
      <w:pPr>
        <w:rPr>
          <w:b/>
        </w:rPr>
      </w:pPr>
      <w:r w:rsidRPr="00434259">
        <w:rPr>
          <w:b/>
          <w:u w:val="single"/>
        </w:rPr>
        <w:t>Timeline</w:t>
      </w:r>
      <w:r w:rsidRPr="00434259">
        <w:rPr>
          <w:b/>
        </w:rPr>
        <w:t>:</w:t>
      </w:r>
      <w:r>
        <w:rPr>
          <w:b/>
        </w:rPr>
        <w:t xml:space="preserve">  </w:t>
      </w:r>
    </w:p>
    <w:p w:rsidR="00333B43" w:rsidRDefault="00333B43" w:rsidP="00333B43">
      <w:r>
        <w:t xml:space="preserve">The Steering Committee requests that this work be completed by the end of the </w:t>
      </w:r>
      <w:proofErr w:type="gramStart"/>
      <w:r>
        <w:t>Spring</w:t>
      </w:r>
      <w:proofErr w:type="gramEnd"/>
      <w:r>
        <w:t xml:space="preserve"> semester 2011. </w:t>
      </w:r>
    </w:p>
    <w:p w:rsidR="00333B43" w:rsidRDefault="00333B43"/>
    <w:p w:rsidR="00333B43" w:rsidRPr="00596C43" w:rsidRDefault="00333B43" w:rsidP="00333B43">
      <w:pPr>
        <w:spacing w:before="240" w:after="120"/>
        <w:jc w:val="center"/>
        <w:rPr>
          <w:b/>
          <w:bCs/>
        </w:rPr>
      </w:pPr>
      <w:r w:rsidRPr="00596C43">
        <w:rPr>
          <w:b/>
          <w:bCs/>
        </w:rPr>
        <w:t>TCNJ Governance Processes</w:t>
      </w:r>
    </w:p>
    <w:p w:rsidR="00333B43" w:rsidRPr="00596C43" w:rsidRDefault="00333B43" w:rsidP="00333B43">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7"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333B43" w:rsidRPr="00596C43" w:rsidRDefault="00333B43" w:rsidP="00333B43">
      <w:pPr>
        <w:spacing w:before="240" w:after="120"/>
        <w:jc w:val="both"/>
      </w:pPr>
      <w:r w:rsidRPr="00596C43">
        <w:rPr>
          <w:b/>
          <w:bCs/>
        </w:rPr>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w:t>
      </w:r>
      <w:r w:rsidRPr="00596C43">
        <w:lastRenderedPageBreak/>
        <w:t xml:space="preserve">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333B43" w:rsidRPr="00596C43" w:rsidRDefault="00333B43" w:rsidP="00333B43">
      <w:pPr>
        <w:spacing w:before="240" w:after="120"/>
        <w:jc w:val="both"/>
      </w:pPr>
      <w:r w:rsidRPr="00596C43">
        <w:rPr>
          <w:b/>
          <w:bCs/>
        </w:rPr>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333B43" w:rsidRPr="00596C43" w:rsidRDefault="00333B43" w:rsidP="00333B43">
      <w:pPr>
        <w:spacing w:before="240" w:after="120"/>
        <w:jc w:val="both"/>
        <w:rPr>
          <w:b/>
          <w:bCs/>
        </w:rPr>
      </w:pPr>
      <w:r w:rsidRPr="00596C43">
        <w:rPr>
          <w:b/>
          <w:bCs/>
        </w:rPr>
        <w:t>Testimony</w:t>
      </w:r>
    </w:p>
    <w:p w:rsidR="00333B43" w:rsidRPr="00596C43" w:rsidRDefault="00333B43" w:rsidP="00333B43">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333B43" w:rsidRDefault="00333B43" w:rsidP="00333B43"/>
    <w:p w:rsidR="00333B43" w:rsidRDefault="00333B43" w:rsidP="00333B43"/>
    <w:p w:rsidR="00333B43" w:rsidRDefault="00333B43"/>
    <w:sectPr w:rsidR="00333B43" w:rsidSect="008775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DBD" w:rsidRDefault="00562DBD" w:rsidP="00333B43">
      <w:r>
        <w:separator/>
      </w:r>
    </w:p>
  </w:endnote>
  <w:endnote w:type="continuationSeparator" w:id="0">
    <w:p w:rsidR="00562DBD" w:rsidRDefault="00562DBD" w:rsidP="00333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7D" w:rsidRDefault="009279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7D" w:rsidRDefault="009279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7D" w:rsidRDefault="009279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DBD" w:rsidRDefault="00562DBD" w:rsidP="00333B43">
      <w:r>
        <w:separator/>
      </w:r>
    </w:p>
  </w:footnote>
  <w:footnote w:type="continuationSeparator" w:id="0">
    <w:p w:rsidR="00562DBD" w:rsidRDefault="00562DBD" w:rsidP="00333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7D" w:rsidRDefault="009279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7D" w:rsidRDefault="009279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7D" w:rsidRDefault="009279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7B2E3D"/>
    <w:rsid w:val="00006560"/>
    <w:rsid w:val="000815FA"/>
    <w:rsid w:val="002127E1"/>
    <w:rsid w:val="00231C8D"/>
    <w:rsid w:val="00297C12"/>
    <w:rsid w:val="00333B43"/>
    <w:rsid w:val="00351540"/>
    <w:rsid w:val="00463B1B"/>
    <w:rsid w:val="00562DBD"/>
    <w:rsid w:val="005B15E4"/>
    <w:rsid w:val="006746A0"/>
    <w:rsid w:val="00722EB9"/>
    <w:rsid w:val="007B2E3D"/>
    <w:rsid w:val="00821489"/>
    <w:rsid w:val="00877575"/>
    <w:rsid w:val="0092797D"/>
    <w:rsid w:val="00A96869"/>
    <w:rsid w:val="00B639B5"/>
    <w:rsid w:val="00BC4B77"/>
    <w:rsid w:val="00FA3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B43"/>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E3D"/>
    <w:rPr>
      <w:color w:val="0000FF" w:themeColor="hyperlink"/>
      <w:u w:val="single"/>
    </w:rPr>
  </w:style>
  <w:style w:type="character" w:styleId="FollowedHyperlink">
    <w:name w:val="FollowedHyperlink"/>
    <w:basedOn w:val="DefaultParagraphFont"/>
    <w:uiPriority w:val="99"/>
    <w:semiHidden/>
    <w:unhideWhenUsed/>
    <w:rsid w:val="00333B43"/>
    <w:rPr>
      <w:color w:val="800080" w:themeColor="followedHyperlink"/>
      <w:u w:val="single"/>
    </w:rPr>
  </w:style>
  <w:style w:type="paragraph" w:styleId="HTMLPreformatted">
    <w:name w:val="HTML Preformatted"/>
    <w:basedOn w:val="Normal"/>
    <w:link w:val="HTMLPreformattedChar"/>
    <w:rsid w:val="00333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33B43"/>
    <w:rPr>
      <w:rFonts w:ascii="Courier New" w:eastAsia="Times New Roman" w:hAnsi="Courier New" w:cs="Courier New"/>
      <w:sz w:val="20"/>
    </w:rPr>
  </w:style>
  <w:style w:type="paragraph" w:styleId="Header">
    <w:name w:val="header"/>
    <w:basedOn w:val="Normal"/>
    <w:link w:val="HeaderChar"/>
    <w:uiPriority w:val="99"/>
    <w:semiHidden/>
    <w:unhideWhenUsed/>
    <w:rsid w:val="00333B43"/>
    <w:pPr>
      <w:tabs>
        <w:tab w:val="center" w:pos="4680"/>
        <w:tab w:val="right" w:pos="9360"/>
      </w:tabs>
    </w:pPr>
  </w:style>
  <w:style w:type="character" w:customStyle="1" w:styleId="HeaderChar">
    <w:name w:val="Header Char"/>
    <w:basedOn w:val="DefaultParagraphFont"/>
    <w:link w:val="Header"/>
    <w:uiPriority w:val="99"/>
    <w:semiHidden/>
    <w:rsid w:val="00333B43"/>
    <w:rPr>
      <w:rFonts w:eastAsia="Times New Roman"/>
      <w:szCs w:val="24"/>
    </w:rPr>
  </w:style>
  <w:style w:type="paragraph" w:styleId="Footer">
    <w:name w:val="footer"/>
    <w:basedOn w:val="Normal"/>
    <w:link w:val="FooterChar"/>
    <w:uiPriority w:val="99"/>
    <w:semiHidden/>
    <w:unhideWhenUsed/>
    <w:rsid w:val="00333B43"/>
    <w:pPr>
      <w:tabs>
        <w:tab w:val="center" w:pos="4680"/>
        <w:tab w:val="right" w:pos="9360"/>
      </w:tabs>
    </w:pPr>
  </w:style>
  <w:style w:type="character" w:customStyle="1" w:styleId="FooterChar">
    <w:name w:val="Footer Char"/>
    <w:basedOn w:val="DefaultParagraphFont"/>
    <w:link w:val="Footer"/>
    <w:uiPriority w:val="99"/>
    <w:semiHidden/>
    <w:rsid w:val="00333B43"/>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tcnj.edu/~steerin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nj.edu/~academic/policy/coursewithdrawal.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dc:description/>
  <cp:lastModifiedBy>TCNJ IT</cp:lastModifiedBy>
  <cp:revision>3</cp:revision>
  <dcterms:created xsi:type="dcterms:W3CDTF">2011-02-03T16:06:00Z</dcterms:created>
  <dcterms:modified xsi:type="dcterms:W3CDTF">2011-02-03T16:07:00Z</dcterms:modified>
</cp:coreProperties>
</file>