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87" w:rsidRDefault="006C31BC" w:rsidP="006C31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55A43">
        <w:rPr>
          <w:rFonts w:ascii="Times New Roman" w:hAnsi="Times New Roman"/>
          <w:sz w:val="24"/>
          <w:szCs w:val="24"/>
        </w:rPr>
        <w:t>Committee on Faculty Affairs</w:t>
      </w:r>
      <w:r w:rsidR="00417187">
        <w:rPr>
          <w:rFonts w:ascii="Times New Roman" w:hAnsi="Times New Roman"/>
          <w:sz w:val="24"/>
          <w:szCs w:val="24"/>
        </w:rPr>
        <w:t xml:space="preserve"> Minutes </w:t>
      </w:r>
    </w:p>
    <w:p w:rsidR="00417187" w:rsidRPr="00355A43" w:rsidRDefault="00252BA7" w:rsidP="006C31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8, 2010</w:t>
      </w:r>
    </w:p>
    <w:p w:rsidR="00321668" w:rsidRPr="00355A43" w:rsidRDefault="00321668" w:rsidP="006C31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C31BC" w:rsidRPr="00355A43" w:rsidRDefault="006C31BC" w:rsidP="006C31BC">
      <w:pPr>
        <w:spacing w:after="0"/>
        <w:rPr>
          <w:rFonts w:ascii="Times New Roman" w:hAnsi="Times New Roman"/>
          <w:sz w:val="24"/>
          <w:szCs w:val="24"/>
        </w:rPr>
      </w:pPr>
      <w:r w:rsidRPr="00355A43">
        <w:rPr>
          <w:rFonts w:ascii="Times New Roman" w:hAnsi="Times New Roman"/>
          <w:sz w:val="24"/>
          <w:szCs w:val="24"/>
        </w:rPr>
        <w:t xml:space="preserve">Present: </w:t>
      </w:r>
      <w:r w:rsidR="002B3EDC" w:rsidRPr="00355A43">
        <w:rPr>
          <w:rFonts w:ascii="Times New Roman" w:hAnsi="Times New Roman"/>
          <w:sz w:val="24"/>
          <w:szCs w:val="24"/>
        </w:rPr>
        <w:t xml:space="preserve"> </w:t>
      </w:r>
      <w:r w:rsidR="00252BA7" w:rsidRPr="00355A43">
        <w:rPr>
          <w:rFonts w:ascii="Times New Roman" w:hAnsi="Times New Roman"/>
          <w:sz w:val="24"/>
          <w:szCs w:val="24"/>
        </w:rPr>
        <w:t>M. Ayers, T. Dell’Angelo</w:t>
      </w:r>
      <w:r w:rsidR="00252BA7">
        <w:rPr>
          <w:rFonts w:ascii="Times New Roman" w:hAnsi="Times New Roman"/>
          <w:sz w:val="24"/>
          <w:szCs w:val="24"/>
        </w:rPr>
        <w:t xml:space="preserve">, </w:t>
      </w:r>
      <w:r w:rsidR="002B3EDC" w:rsidRPr="00355A43">
        <w:rPr>
          <w:rFonts w:ascii="Times New Roman" w:hAnsi="Times New Roman"/>
          <w:sz w:val="24"/>
          <w:szCs w:val="24"/>
        </w:rPr>
        <w:t>M. Gorman</w:t>
      </w:r>
      <w:r w:rsidR="00CC58F5">
        <w:rPr>
          <w:rFonts w:ascii="Times New Roman" w:hAnsi="Times New Roman"/>
          <w:sz w:val="24"/>
          <w:szCs w:val="24"/>
        </w:rPr>
        <w:t xml:space="preserve"> (recording)</w:t>
      </w:r>
      <w:r w:rsidRPr="00355A43">
        <w:rPr>
          <w:rFonts w:ascii="Times New Roman" w:hAnsi="Times New Roman"/>
          <w:sz w:val="24"/>
          <w:szCs w:val="24"/>
        </w:rPr>
        <w:t xml:space="preserve">, A. Leynes, </w:t>
      </w:r>
      <w:r w:rsidR="002B3EDC" w:rsidRPr="00355A43">
        <w:rPr>
          <w:rFonts w:ascii="Times New Roman" w:hAnsi="Times New Roman"/>
          <w:sz w:val="24"/>
          <w:szCs w:val="24"/>
        </w:rPr>
        <w:t xml:space="preserve">M. Naples, </w:t>
      </w:r>
      <w:r w:rsidR="009E697E" w:rsidRPr="00355A43">
        <w:rPr>
          <w:rFonts w:ascii="Times New Roman" w:hAnsi="Times New Roman"/>
          <w:sz w:val="24"/>
          <w:szCs w:val="24"/>
        </w:rPr>
        <w:t>J. Osborne</w:t>
      </w:r>
      <w:r w:rsidR="009E697E">
        <w:rPr>
          <w:rFonts w:ascii="Times New Roman" w:hAnsi="Times New Roman"/>
          <w:sz w:val="24"/>
          <w:szCs w:val="24"/>
        </w:rPr>
        <w:t>,</w:t>
      </w:r>
      <w:r w:rsidR="009E697E" w:rsidRPr="00355A43">
        <w:rPr>
          <w:rFonts w:ascii="Times New Roman" w:hAnsi="Times New Roman"/>
          <w:sz w:val="24"/>
          <w:szCs w:val="24"/>
        </w:rPr>
        <w:t xml:space="preserve"> </w:t>
      </w:r>
      <w:r w:rsidRPr="00355A43">
        <w:rPr>
          <w:rFonts w:ascii="Times New Roman" w:hAnsi="Times New Roman"/>
          <w:sz w:val="24"/>
          <w:szCs w:val="24"/>
        </w:rPr>
        <w:t>L</w:t>
      </w:r>
      <w:r w:rsidR="00252BA7">
        <w:rPr>
          <w:rFonts w:ascii="Times New Roman" w:hAnsi="Times New Roman"/>
          <w:sz w:val="24"/>
          <w:szCs w:val="24"/>
        </w:rPr>
        <w:t>A</w:t>
      </w:r>
      <w:r w:rsidRPr="00355A43">
        <w:rPr>
          <w:rFonts w:ascii="Times New Roman" w:hAnsi="Times New Roman"/>
          <w:sz w:val="24"/>
          <w:szCs w:val="24"/>
        </w:rPr>
        <w:t>. Riccardi</w:t>
      </w:r>
      <w:r w:rsidR="00CC58F5">
        <w:rPr>
          <w:rFonts w:ascii="Times New Roman" w:hAnsi="Times New Roman"/>
          <w:sz w:val="24"/>
          <w:szCs w:val="24"/>
        </w:rPr>
        <w:t xml:space="preserve"> (Chair)</w:t>
      </w:r>
      <w:r w:rsidRPr="00355A43">
        <w:rPr>
          <w:rFonts w:ascii="Times New Roman" w:hAnsi="Times New Roman"/>
          <w:sz w:val="24"/>
          <w:szCs w:val="24"/>
        </w:rPr>
        <w:t>, B. Rifkin</w:t>
      </w:r>
      <w:r w:rsidR="00321668">
        <w:rPr>
          <w:rFonts w:ascii="Times New Roman" w:hAnsi="Times New Roman"/>
          <w:sz w:val="24"/>
          <w:szCs w:val="24"/>
        </w:rPr>
        <w:t xml:space="preserve">. </w:t>
      </w:r>
    </w:p>
    <w:p w:rsidR="00E30600" w:rsidRPr="00355A43" w:rsidRDefault="00E30600" w:rsidP="006C31BC">
      <w:pPr>
        <w:spacing w:after="0"/>
        <w:rPr>
          <w:rFonts w:ascii="Times New Roman" w:hAnsi="Times New Roman"/>
          <w:sz w:val="24"/>
          <w:szCs w:val="24"/>
        </w:rPr>
      </w:pPr>
    </w:p>
    <w:p w:rsidR="00E30600" w:rsidRDefault="00E30600" w:rsidP="006C31BC">
      <w:pPr>
        <w:spacing w:after="0"/>
        <w:rPr>
          <w:rFonts w:ascii="Times New Roman" w:hAnsi="Times New Roman"/>
          <w:sz w:val="24"/>
          <w:szCs w:val="24"/>
        </w:rPr>
      </w:pPr>
      <w:r w:rsidRPr="00355A43">
        <w:rPr>
          <w:rFonts w:ascii="Times New Roman" w:hAnsi="Times New Roman"/>
          <w:sz w:val="24"/>
          <w:szCs w:val="24"/>
        </w:rPr>
        <w:t xml:space="preserve">Excused:  </w:t>
      </w:r>
      <w:r w:rsidR="00252BA7" w:rsidRPr="00355A43">
        <w:rPr>
          <w:rFonts w:ascii="Times New Roman" w:hAnsi="Times New Roman"/>
          <w:sz w:val="24"/>
          <w:szCs w:val="24"/>
        </w:rPr>
        <w:t>M. Bender, D. Hunt, J. Kang, B. Strassman,</w:t>
      </w:r>
      <w:r w:rsidR="00252BA7">
        <w:rPr>
          <w:rFonts w:ascii="Times New Roman" w:hAnsi="Times New Roman"/>
          <w:sz w:val="24"/>
          <w:szCs w:val="24"/>
        </w:rPr>
        <w:t xml:space="preserve"> </w:t>
      </w:r>
      <w:r w:rsidR="00252BA7" w:rsidRPr="00355A43">
        <w:rPr>
          <w:rFonts w:ascii="Times New Roman" w:hAnsi="Times New Roman"/>
          <w:sz w:val="24"/>
          <w:szCs w:val="24"/>
        </w:rPr>
        <w:t>K. Unger</w:t>
      </w:r>
    </w:p>
    <w:p w:rsidR="00D97BC6" w:rsidRDefault="00D97BC6" w:rsidP="006C31BC">
      <w:pPr>
        <w:spacing w:after="0"/>
        <w:rPr>
          <w:rFonts w:ascii="Times New Roman" w:hAnsi="Times New Roman"/>
          <w:sz w:val="24"/>
          <w:szCs w:val="24"/>
        </w:rPr>
      </w:pPr>
    </w:p>
    <w:p w:rsidR="00D97BC6" w:rsidRPr="00355A43" w:rsidRDefault="00D97BC6" w:rsidP="006C3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no quorum at the meeting starting time and there was discussion of whether or not to proceed with the meeting. After some time, a quorum was established and actions were taken.</w:t>
      </w:r>
    </w:p>
    <w:p w:rsidR="006C31BC" w:rsidRDefault="006C31BC" w:rsidP="006C31BC">
      <w:pPr>
        <w:spacing w:after="0"/>
        <w:rPr>
          <w:rFonts w:ascii="Times New Roman" w:hAnsi="Times New Roman"/>
          <w:sz w:val="24"/>
          <w:szCs w:val="24"/>
        </w:rPr>
      </w:pPr>
    </w:p>
    <w:p w:rsidR="003E66BE" w:rsidRDefault="00252BA7" w:rsidP="006C3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E66BE">
        <w:rPr>
          <w:rFonts w:ascii="Times New Roman" w:hAnsi="Times New Roman"/>
          <w:sz w:val="24"/>
          <w:szCs w:val="24"/>
        </w:rPr>
        <w:t xml:space="preserve">Minutes </w:t>
      </w:r>
      <w:r>
        <w:rPr>
          <w:rFonts w:ascii="Times New Roman" w:hAnsi="Times New Roman"/>
          <w:sz w:val="24"/>
          <w:szCs w:val="24"/>
        </w:rPr>
        <w:t xml:space="preserve">of November 10, 2010: Approval of minutes was postponed until January meeting as those present were uncertain of the meaning of the last sentence in the minutes. LAR will ask B. Strassman for clarification. </w:t>
      </w:r>
    </w:p>
    <w:p w:rsidR="003E66BE" w:rsidRDefault="003E66BE" w:rsidP="006C31BC">
      <w:pPr>
        <w:spacing w:after="0"/>
        <w:rPr>
          <w:rFonts w:ascii="Times New Roman" w:hAnsi="Times New Roman"/>
          <w:sz w:val="24"/>
          <w:szCs w:val="24"/>
        </w:rPr>
      </w:pPr>
    </w:p>
    <w:p w:rsidR="004A71F9" w:rsidRDefault="00252BA7" w:rsidP="006C31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2.a. </w:t>
      </w:r>
      <w:r w:rsidRPr="00252BA7">
        <w:rPr>
          <w:rFonts w:ascii="Times New Roman" w:hAnsi="Times New Roman"/>
          <w:sz w:val="24"/>
          <w:szCs w:val="24"/>
        </w:rPr>
        <w:t>Report from Lee Ann Riccardi with update from Steering</w:t>
      </w:r>
      <w:r>
        <w:rPr>
          <w:rFonts w:ascii="Times New Roman" w:hAnsi="Times New Roman"/>
          <w:sz w:val="24"/>
          <w:szCs w:val="24"/>
        </w:rPr>
        <w:t>.</w:t>
      </w:r>
    </w:p>
    <w:p w:rsidR="00252BA7" w:rsidRDefault="00252BA7" w:rsidP="00975853">
      <w:pPr>
        <w:numPr>
          <w:ilvl w:val="1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Steering</w:t>
      </w:r>
    </w:p>
    <w:p w:rsidR="00252BA7" w:rsidRDefault="00252BA7" w:rsidP="00975853">
      <w:pPr>
        <w:numPr>
          <w:ilvl w:val="2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Charge forthcoming re: SOSA review</w:t>
      </w:r>
    </w:p>
    <w:p w:rsidR="00252BA7" w:rsidRDefault="00252BA7" w:rsidP="00975853">
      <w:pPr>
        <w:numPr>
          <w:ilvl w:val="2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Steering had no objections to separating the recommendation for</w:t>
      </w:r>
      <w:r w:rsidR="00975853">
        <w:rPr>
          <w:rFonts w:ascii="Times New Roman" w:hAnsi="Times New Roman"/>
          <w:sz w:val="24"/>
          <w:szCs w:val="24"/>
        </w:rPr>
        <w:t xml:space="preserve"> committee composition </w:t>
      </w:r>
      <w:r>
        <w:rPr>
          <w:rFonts w:ascii="Times New Roman" w:hAnsi="Times New Roman"/>
          <w:sz w:val="24"/>
          <w:szCs w:val="24"/>
        </w:rPr>
        <w:t>to review SOSA members’ applications</w:t>
      </w:r>
      <w:r w:rsidR="00975853">
        <w:rPr>
          <w:rFonts w:ascii="Times New Roman" w:hAnsi="Times New Roman"/>
          <w:sz w:val="24"/>
          <w:szCs w:val="24"/>
        </w:rPr>
        <w:t xml:space="preserve"> from that for Sabbatical Committee members’ applications </w:t>
      </w:r>
    </w:p>
    <w:p w:rsidR="00975853" w:rsidRDefault="00975853" w:rsidP="00975853">
      <w:pPr>
        <w:numPr>
          <w:ilvl w:val="2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Charge forthcoming re: recording lectures</w:t>
      </w:r>
    </w:p>
    <w:p w:rsidR="00975853" w:rsidRDefault="00975853" w:rsidP="00975853">
      <w:pPr>
        <w:numPr>
          <w:ilvl w:val="2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Previous charge to clarify years necessary for eligibility for promotions was to be revised to include both Professor and Associate Professor; Steering considering including request to also define “professional experience.” CFA members’ reaction was that defining professional experience was not appropriate and the language in the promotions document was sufficient. </w:t>
      </w:r>
    </w:p>
    <w:p w:rsidR="00975853" w:rsidRDefault="00975853" w:rsidP="00975853">
      <w:pPr>
        <w:numPr>
          <w:ilvl w:val="2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Five-Year Review: Provost and AFT are negotiating an agreement; if CFA considers any changes to be major, then forum process will start over.</w:t>
      </w: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975853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3.a. </w:t>
      </w:r>
      <w:r w:rsidRPr="00D97BC6">
        <w:rPr>
          <w:rFonts w:ascii="Times New Roman" w:hAnsi="Times New Roman"/>
          <w:sz w:val="24"/>
          <w:szCs w:val="24"/>
        </w:rPr>
        <w:t>Distribution of SOSA average scores to ad hoc committee (Tabitha Dell’Angelo)</w:t>
      </w: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Candice Feiring suggested giving ad hoc committee </w:t>
      </w:r>
      <w:r w:rsidRPr="00240394">
        <w:rPr>
          <w:rFonts w:ascii="Times New Roman" w:hAnsi="Times New Roman"/>
          <w:sz w:val="24"/>
          <w:szCs w:val="24"/>
        </w:rPr>
        <w:t>(reviewing SOSA Committee members’ applications)</w:t>
      </w:r>
      <w:r>
        <w:rPr>
          <w:rFonts w:ascii="Times New Roman" w:hAnsi="Times New Roman"/>
          <w:sz w:val="24"/>
          <w:szCs w:val="24"/>
        </w:rPr>
        <w:t xml:space="preserve"> average scores. Discussion led to suggestion that mean, median and range of scores also be given to ad hoc.  </w:t>
      </w: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2.b. </w:t>
      </w:r>
      <w:r w:rsidRPr="00D97BC6">
        <w:rPr>
          <w:rFonts w:ascii="Times New Roman" w:hAnsi="Times New Roman"/>
          <w:sz w:val="24"/>
          <w:szCs w:val="24"/>
        </w:rPr>
        <w:t>Charge on Eligibility for Promotion: discussion of proposed wording changes to Promotions Document</w:t>
      </w:r>
      <w:r w:rsidR="00240394">
        <w:rPr>
          <w:rFonts w:ascii="Times New Roman" w:hAnsi="Times New Roman"/>
          <w:sz w:val="24"/>
          <w:szCs w:val="24"/>
        </w:rPr>
        <w:t xml:space="preserve"> to be applied to all </w:t>
      </w:r>
      <w:r w:rsidR="00197DCB">
        <w:rPr>
          <w:rFonts w:ascii="Times New Roman" w:hAnsi="Times New Roman"/>
          <w:sz w:val="24"/>
          <w:szCs w:val="24"/>
        </w:rPr>
        <w:t xml:space="preserve">ranks for which </w:t>
      </w:r>
      <w:r w:rsidR="00240394">
        <w:rPr>
          <w:rFonts w:ascii="Times New Roman" w:hAnsi="Times New Roman"/>
          <w:sz w:val="24"/>
          <w:szCs w:val="24"/>
        </w:rPr>
        <w:t xml:space="preserve">candidates </w:t>
      </w:r>
      <w:r w:rsidR="00197DCB">
        <w:rPr>
          <w:rFonts w:ascii="Times New Roman" w:hAnsi="Times New Roman"/>
          <w:sz w:val="24"/>
          <w:szCs w:val="24"/>
        </w:rPr>
        <w:t xml:space="preserve">may </w:t>
      </w:r>
      <w:r w:rsidR="00240394">
        <w:rPr>
          <w:rFonts w:ascii="Times New Roman" w:hAnsi="Times New Roman"/>
          <w:sz w:val="24"/>
          <w:szCs w:val="24"/>
        </w:rPr>
        <w:t>apply for promotion</w:t>
      </w:r>
      <w:r w:rsidR="00197DCB">
        <w:rPr>
          <w:rFonts w:ascii="Times New Roman" w:hAnsi="Times New Roman"/>
          <w:sz w:val="24"/>
          <w:szCs w:val="24"/>
        </w:rPr>
        <w:t>.</w:t>
      </w: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B. Rifkin moved to approve changes, A. Leynes seconded, motion approved. </w:t>
      </w:r>
      <w:r w:rsidRPr="00240394">
        <w:rPr>
          <w:rFonts w:ascii="Times New Roman" w:hAnsi="Times New Roman"/>
          <w:sz w:val="24"/>
          <w:szCs w:val="24"/>
        </w:rPr>
        <w:t xml:space="preserve">Motion: </w:t>
      </w:r>
      <w:r w:rsidR="00240394">
        <w:rPr>
          <w:rFonts w:ascii="Times New Roman" w:hAnsi="Times New Roman"/>
          <w:sz w:val="24"/>
          <w:szCs w:val="24"/>
        </w:rPr>
        <w:t xml:space="preserve"> A candidate is eligible for promotion if the candidate has the requisite number of years at the time promotion is awarded.</w:t>
      </w:r>
    </w:p>
    <w:p w:rsidR="00D97BC6" w:rsidRDefault="00D97BC6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1F3C70" w:rsidRDefault="001F3C70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3.b. N</w:t>
      </w:r>
      <w:r w:rsidRPr="001F3C70">
        <w:rPr>
          <w:rFonts w:ascii="Times New Roman" w:hAnsi="Times New Roman"/>
          <w:sz w:val="24"/>
          <w:szCs w:val="24"/>
        </w:rPr>
        <w:t>ew Charge from Steering on Teacher-Scholar</w:t>
      </w:r>
    </w:p>
    <w:p w:rsidR="001F3C70" w:rsidRDefault="001F3C70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May 8, 2006, “Final Report of the Task Force on the Teacher-Scholar Model at TCNJ” was distributed before the meeting. J. Osborne distributed “Core Principles that Guided the Academic Transformation” for discussion as it includes definitions of teacher-scholar. LAR will check the governance status of the “Core Principles” and will distribute this document to all committee members for discussion at the January meeting. </w:t>
      </w:r>
    </w:p>
    <w:p w:rsidR="001F3C70" w:rsidRDefault="001F3C70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1F3C70" w:rsidRDefault="00321668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3C70">
        <w:rPr>
          <w:rFonts w:ascii="Times New Roman" w:hAnsi="Times New Roman"/>
          <w:sz w:val="24"/>
          <w:szCs w:val="24"/>
        </w:rPr>
        <w:t xml:space="preserve">. c. </w:t>
      </w:r>
      <w:r w:rsidR="001F3C70" w:rsidRPr="001F3C70">
        <w:rPr>
          <w:rFonts w:ascii="Times New Roman" w:hAnsi="Times New Roman"/>
          <w:sz w:val="24"/>
          <w:szCs w:val="24"/>
        </w:rPr>
        <w:t>Consideration of other issues from Gray and Grega SOSA memos</w:t>
      </w:r>
    </w:p>
    <w:p w:rsidR="001F3C70" w:rsidRDefault="00321668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3C70">
        <w:rPr>
          <w:rFonts w:ascii="Times New Roman" w:hAnsi="Times New Roman"/>
          <w:sz w:val="24"/>
          <w:szCs w:val="24"/>
        </w:rPr>
        <w:t xml:space="preserve">. d. </w:t>
      </w:r>
      <w:r w:rsidR="001F3C70" w:rsidRPr="001F3C70">
        <w:rPr>
          <w:rFonts w:ascii="Times New Roman" w:hAnsi="Times New Roman"/>
          <w:sz w:val="24"/>
          <w:szCs w:val="24"/>
        </w:rPr>
        <w:t>Consideration of SOSA issues raised by Tabitha Dell’Angelo</w:t>
      </w:r>
    </w:p>
    <w:p w:rsidR="001F3C70" w:rsidRDefault="001F3C70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Osborne suggested that the two subcommittees join up to draft a new RFP and consider all questions at once. </w:t>
      </w:r>
      <w:r w:rsidR="00FD46A4">
        <w:rPr>
          <w:rFonts w:ascii="Times New Roman" w:hAnsi="Times New Roman"/>
          <w:sz w:val="24"/>
          <w:szCs w:val="24"/>
        </w:rPr>
        <w:t xml:space="preserve">LAR thought subcommittee division of work would be more manageable. B. Rifkin agreed that subcommittees were preferable. </w:t>
      </w:r>
    </w:p>
    <w:p w:rsidR="00FD46A4" w:rsidRDefault="00FD46A4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discussion, with differing opinions expressed, regarding whether establishing a rubric should be handled by SOSA or CFA . LAR, TD’A, others(?) will form a subcommittee to revise the RFP.</w:t>
      </w:r>
    </w:p>
    <w:p w:rsidR="00FD46A4" w:rsidRDefault="00FD46A4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FD46A4" w:rsidRDefault="00FD46A4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2.d. </w:t>
      </w:r>
      <w:r w:rsidRPr="00FD46A4">
        <w:rPr>
          <w:rFonts w:ascii="Times New Roman" w:hAnsi="Times New Roman"/>
          <w:sz w:val="24"/>
          <w:szCs w:val="24"/>
        </w:rPr>
        <w:t>Report from Subcommittee on the Composition of SOSA committee</w:t>
      </w:r>
      <w:r>
        <w:rPr>
          <w:rFonts w:ascii="Times New Roman" w:hAnsi="Times New Roman"/>
          <w:sz w:val="24"/>
          <w:szCs w:val="24"/>
        </w:rPr>
        <w:t xml:space="preserve"> (M. Gorman)</w:t>
      </w:r>
    </w:p>
    <w:p w:rsidR="00FD46A4" w:rsidRDefault="00FD46A4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 distributed notes from the subcommittee’s December 1 meeting. A discussion of “disciplines” followed, including whether History should be included as a Social Science or Humanities. </w:t>
      </w:r>
      <w:r w:rsidR="00240394">
        <w:rPr>
          <w:rFonts w:ascii="Times New Roman" w:hAnsi="Times New Roman"/>
          <w:sz w:val="24"/>
          <w:szCs w:val="24"/>
        </w:rPr>
        <w:t xml:space="preserve">At TCNJ, history is considered a social science.  </w:t>
      </w:r>
      <w:r>
        <w:rPr>
          <w:rFonts w:ascii="Times New Roman" w:hAnsi="Times New Roman"/>
          <w:sz w:val="24"/>
          <w:szCs w:val="24"/>
        </w:rPr>
        <w:t>LAR noted need to reconcile this subcommittee’s recommendations with those</w:t>
      </w:r>
      <w:r w:rsidR="00CC58F5">
        <w:rPr>
          <w:rFonts w:ascii="Times New Roman" w:hAnsi="Times New Roman"/>
          <w:sz w:val="24"/>
          <w:szCs w:val="24"/>
        </w:rPr>
        <w:t xml:space="preserve"> of the subcommittee looking at SOSA assessment practice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97BC6" w:rsidRDefault="00CC58F5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broader discussion of issues followed, touching on weighting of program proposal, scholarly record, report of accomplishments under prior SOSA award(s). </w:t>
      </w:r>
    </w:p>
    <w:p w:rsidR="008E0FDA" w:rsidRDefault="008E0FDA" w:rsidP="00975853">
      <w:pPr>
        <w:spacing w:after="0"/>
        <w:rPr>
          <w:rFonts w:ascii="Times New Roman" w:hAnsi="Times New Roman"/>
          <w:sz w:val="24"/>
          <w:szCs w:val="24"/>
        </w:rPr>
      </w:pPr>
    </w:p>
    <w:p w:rsidR="008E0FDA" w:rsidRDefault="008E0FDA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8E0FDA" w:rsidRDefault="008E0FDA" w:rsidP="009758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Maureen Gorman</w:t>
      </w:r>
    </w:p>
    <w:sectPr w:rsidR="008E0FDA" w:rsidSect="00653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F91" w:rsidRDefault="00080F91" w:rsidP="00725258">
      <w:pPr>
        <w:spacing w:after="0" w:line="240" w:lineRule="auto"/>
      </w:pPr>
      <w:r>
        <w:separator/>
      </w:r>
    </w:p>
  </w:endnote>
  <w:endnote w:type="continuationSeparator" w:id="0">
    <w:p w:rsidR="00080F91" w:rsidRDefault="00080F91" w:rsidP="0072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F91" w:rsidRDefault="00080F91" w:rsidP="00725258">
      <w:pPr>
        <w:spacing w:after="0" w:line="240" w:lineRule="auto"/>
      </w:pPr>
      <w:r>
        <w:separator/>
      </w:r>
    </w:p>
  </w:footnote>
  <w:footnote w:type="continuationSeparator" w:id="0">
    <w:p w:rsidR="00080F91" w:rsidRDefault="00080F91" w:rsidP="00725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4B2"/>
    <w:multiLevelType w:val="hybridMultilevel"/>
    <w:tmpl w:val="D22A39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1B65"/>
    <w:multiLevelType w:val="hybridMultilevel"/>
    <w:tmpl w:val="AF0AA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54B17"/>
    <w:multiLevelType w:val="hybridMultilevel"/>
    <w:tmpl w:val="E5E2A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6CD"/>
    <w:multiLevelType w:val="hybridMultilevel"/>
    <w:tmpl w:val="D0281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124C8"/>
    <w:multiLevelType w:val="hybridMultilevel"/>
    <w:tmpl w:val="14A44714"/>
    <w:lvl w:ilvl="0" w:tplc="D3F02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017280"/>
    <w:multiLevelType w:val="hybridMultilevel"/>
    <w:tmpl w:val="DECE29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56840"/>
    <w:multiLevelType w:val="hybridMultilevel"/>
    <w:tmpl w:val="7B0E4F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0406A"/>
    <w:multiLevelType w:val="hybridMultilevel"/>
    <w:tmpl w:val="7696D3AC"/>
    <w:lvl w:ilvl="0" w:tplc="6FF0D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CA466A"/>
    <w:multiLevelType w:val="hybridMultilevel"/>
    <w:tmpl w:val="5DBC7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CB402A"/>
    <w:multiLevelType w:val="hybridMultilevel"/>
    <w:tmpl w:val="9B162E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47EA9"/>
    <w:multiLevelType w:val="hybridMultilevel"/>
    <w:tmpl w:val="EE3889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0424"/>
    <w:multiLevelType w:val="hybridMultilevel"/>
    <w:tmpl w:val="A58C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F3B53"/>
    <w:multiLevelType w:val="hybridMultilevel"/>
    <w:tmpl w:val="A58C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0136F"/>
    <w:multiLevelType w:val="hybridMultilevel"/>
    <w:tmpl w:val="9F70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D56BE"/>
    <w:multiLevelType w:val="hybridMultilevel"/>
    <w:tmpl w:val="009229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C6DA5"/>
    <w:multiLevelType w:val="hybridMultilevel"/>
    <w:tmpl w:val="5BE039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160DD4"/>
    <w:multiLevelType w:val="hybridMultilevel"/>
    <w:tmpl w:val="8710F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2"/>
  </w:num>
  <w:num w:numId="6">
    <w:abstractNumId w:val="16"/>
  </w:num>
  <w:num w:numId="7">
    <w:abstractNumId w:val="5"/>
  </w:num>
  <w:num w:numId="8">
    <w:abstractNumId w:val="11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1"/>
  </w:num>
  <w:num w:numId="14">
    <w:abstractNumId w:val="15"/>
  </w:num>
  <w:num w:numId="15">
    <w:abstractNumId w:val="8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BC"/>
    <w:rsid w:val="000020CF"/>
    <w:rsid w:val="0002261C"/>
    <w:rsid w:val="00080F91"/>
    <w:rsid w:val="00112714"/>
    <w:rsid w:val="001164E4"/>
    <w:rsid w:val="00197DCB"/>
    <w:rsid w:val="001C31B5"/>
    <w:rsid w:val="001F3C70"/>
    <w:rsid w:val="00201643"/>
    <w:rsid w:val="00204A99"/>
    <w:rsid w:val="00214C4D"/>
    <w:rsid w:val="00240394"/>
    <w:rsid w:val="002434F6"/>
    <w:rsid w:val="00252155"/>
    <w:rsid w:val="00252BA7"/>
    <w:rsid w:val="002B3EDC"/>
    <w:rsid w:val="002C18FD"/>
    <w:rsid w:val="002C26D7"/>
    <w:rsid w:val="002E187D"/>
    <w:rsid w:val="00300B3D"/>
    <w:rsid w:val="00302780"/>
    <w:rsid w:val="00305DF0"/>
    <w:rsid w:val="00321668"/>
    <w:rsid w:val="0032348F"/>
    <w:rsid w:val="00331C73"/>
    <w:rsid w:val="00355A43"/>
    <w:rsid w:val="003920EA"/>
    <w:rsid w:val="003E16F4"/>
    <w:rsid w:val="003E18CE"/>
    <w:rsid w:val="003E66BE"/>
    <w:rsid w:val="00406886"/>
    <w:rsid w:val="00417187"/>
    <w:rsid w:val="00437772"/>
    <w:rsid w:val="004968D1"/>
    <w:rsid w:val="0049745F"/>
    <w:rsid w:val="004A71F9"/>
    <w:rsid w:val="004D395A"/>
    <w:rsid w:val="00551FAE"/>
    <w:rsid w:val="0059162B"/>
    <w:rsid w:val="005C3F96"/>
    <w:rsid w:val="005E2A55"/>
    <w:rsid w:val="005F539D"/>
    <w:rsid w:val="00633B8C"/>
    <w:rsid w:val="006379F2"/>
    <w:rsid w:val="006422ED"/>
    <w:rsid w:val="00643311"/>
    <w:rsid w:val="00653E65"/>
    <w:rsid w:val="006C31BC"/>
    <w:rsid w:val="00725258"/>
    <w:rsid w:val="00733A41"/>
    <w:rsid w:val="0076681B"/>
    <w:rsid w:val="007E5335"/>
    <w:rsid w:val="007F36EB"/>
    <w:rsid w:val="0080319B"/>
    <w:rsid w:val="00831FDC"/>
    <w:rsid w:val="00871A12"/>
    <w:rsid w:val="00881D95"/>
    <w:rsid w:val="008A36A8"/>
    <w:rsid w:val="008B31D0"/>
    <w:rsid w:val="008D5102"/>
    <w:rsid w:val="008E0FDA"/>
    <w:rsid w:val="008E5A9F"/>
    <w:rsid w:val="0093732A"/>
    <w:rsid w:val="0096115B"/>
    <w:rsid w:val="00975853"/>
    <w:rsid w:val="00984A61"/>
    <w:rsid w:val="009C0DF1"/>
    <w:rsid w:val="009D48FC"/>
    <w:rsid w:val="009E697E"/>
    <w:rsid w:val="009F7B15"/>
    <w:rsid w:val="00A31303"/>
    <w:rsid w:val="00A554E1"/>
    <w:rsid w:val="00A5643F"/>
    <w:rsid w:val="00A836C3"/>
    <w:rsid w:val="00AF4F54"/>
    <w:rsid w:val="00B23400"/>
    <w:rsid w:val="00B403E0"/>
    <w:rsid w:val="00B641D4"/>
    <w:rsid w:val="00B90D9B"/>
    <w:rsid w:val="00BC336D"/>
    <w:rsid w:val="00BF2628"/>
    <w:rsid w:val="00C0535F"/>
    <w:rsid w:val="00C54652"/>
    <w:rsid w:val="00C65150"/>
    <w:rsid w:val="00CA4E88"/>
    <w:rsid w:val="00CB49CC"/>
    <w:rsid w:val="00CC58F5"/>
    <w:rsid w:val="00CD118D"/>
    <w:rsid w:val="00CD3D5F"/>
    <w:rsid w:val="00CD5856"/>
    <w:rsid w:val="00D67F5E"/>
    <w:rsid w:val="00D7096B"/>
    <w:rsid w:val="00D97BC6"/>
    <w:rsid w:val="00DC24D0"/>
    <w:rsid w:val="00DD58D4"/>
    <w:rsid w:val="00DE3B37"/>
    <w:rsid w:val="00DE6A35"/>
    <w:rsid w:val="00DF7AFF"/>
    <w:rsid w:val="00E30600"/>
    <w:rsid w:val="00E36ECD"/>
    <w:rsid w:val="00E87ACB"/>
    <w:rsid w:val="00E93D7C"/>
    <w:rsid w:val="00EC7499"/>
    <w:rsid w:val="00ED1EEE"/>
    <w:rsid w:val="00EF0977"/>
    <w:rsid w:val="00EF4452"/>
    <w:rsid w:val="00EF565A"/>
    <w:rsid w:val="00F05738"/>
    <w:rsid w:val="00F751E7"/>
    <w:rsid w:val="00FB03BB"/>
    <w:rsid w:val="00FB3F7C"/>
    <w:rsid w:val="00FC04D8"/>
    <w:rsid w:val="00FD46A4"/>
    <w:rsid w:val="00FE21D4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5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2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5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5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TCNJ</dc:creator>
  <cp:lastModifiedBy>Information Technology</cp:lastModifiedBy>
  <cp:revision>2</cp:revision>
  <cp:lastPrinted>2011-01-26T14:31:00Z</cp:lastPrinted>
  <dcterms:created xsi:type="dcterms:W3CDTF">2011-03-03T14:38:00Z</dcterms:created>
  <dcterms:modified xsi:type="dcterms:W3CDTF">2011-03-03T14:38:00Z</dcterms:modified>
</cp:coreProperties>
</file>